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9CEDAD" w14:textId="20FE61E8" w:rsidR="00EB0F3B" w:rsidRPr="00EB0F3B" w:rsidRDefault="00D40681" w:rsidP="00EB0F3B">
      <w:pPr>
        <w:pStyle w:val="Heading1"/>
        <w:jc w:val="center"/>
        <w:rPr>
          <w:rStyle w:val="SubtleReference"/>
          <w:rFonts w:asciiTheme="minorHAnsi" w:hAnsiTheme="minorHAnsi" w:cstheme="minorHAnsi"/>
          <w:b/>
          <w:bCs/>
          <w:color w:val="37A76F" w:themeColor="accent3"/>
        </w:rPr>
      </w:pPr>
      <w:r w:rsidRPr="00EB0F3B">
        <w:rPr>
          <w:rStyle w:val="SubtleReference"/>
          <w:rFonts w:asciiTheme="minorHAnsi" w:hAnsiTheme="minorHAnsi" w:cstheme="minorHAnsi"/>
          <w:b/>
          <w:bCs/>
          <w:color w:val="37A76F" w:themeColor="accent3"/>
        </w:rPr>
        <w:t xml:space="preserve">DCP 266 WORKING GROUP VIEWS ON WHETHER </w:t>
      </w:r>
      <w:r>
        <w:rPr>
          <w:rStyle w:val="SubtleReference"/>
          <w:rFonts w:asciiTheme="minorHAnsi" w:hAnsiTheme="minorHAnsi" w:cstheme="minorHAnsi"/>
          <w:b/>
          <w:bCs/>
          <w:color w:val="37A76F" w:themeColor="accent3"/>
        </w:rPr>
        <w:t>THE CP</w:t>
      </w:r>
      <w:r w:rsidRPr="00EB0F3B">
        <w:rPr>
          <w:rStyle w:val="SubtleReference"/>
          <w:rFonts w:asciiTheme="minorHAnsi" w:hAnsiTheme="minorHAnsi" w:cstheme="minorHAnsi"/>
          <w:b/>
          <w:bCs/>
          <w:color w:val="37A76F" w:themeColor="accent3"/>
        </w:rPr>
        <w:t xml:space="preserve"> BETTER FACILITATES THE DC</w:t>
      </w:r>
      <w:r>
        <w:rPr>
          <w:rStyle w:val="SubtleReference"/>
          <w:rFonts w:asciiTheme="minorHAnsi" w:hAnsiTheme="minorHAnsi" w:cstheme="minorHAnsi"/>
          <w:b/>
          <w:bCs/>
          <w:color w:val="37A76F" w:themeColor="accent3"/>
        </w:rPr>
        <w:t>U</w:t>
      </w:r>
      <w:r w:rsidRPr="00EB0F3B">
        <w:rPr>
          <w:rStyle w:val="SubtleReference"/>
          <w:rFonts w:asciiTheme="minorHAnsi" w:hAnsiTheme="minorHAnsi" w:cstheme="minorHAnsi"/>
          <w:b/>
          <w:bCs/>
          <w:color w:val="37A76F" w:themeColor="accent3"/>
        </w:rPr>
        <w:t xml:space="preserve">SA </w:t>
      </w:r>
      <w:r>
        <w:rPr>
          <w:rStyle w:val="SubtleReference"/>
          <w:rFonts w:asciiTheme="minorHAnsi" w:hAnsiTheme="minorHAnsi" w:cstheme="minorHAnsi"/>
          <w:b/>
          <w:bCs/>
          <w:color w:val="37A76F" w:themeColor="accent3"/>
        </w:rPr>
        <w:t xml:space="preserve">CHARGING </w:t>
      </w:r>
      <w:r w:rsidRPr="00EB0F3B">
        <w:rPr>
          <w:rStyle w:val="SubtleReference"/>
          <w:rFonts w:asciiTheme="minorHAnsi" w:hAnsiTheme="minorHAnsi" w:cstheme="minorHAnsi"/>
          <w:b/>
          <w:bCs/>
          <w:color w:val="37A76F" w:themeColor="accent3"/>
        </w:rPr>
        <w:t>OBJECTIVES</w:t>
      </w:r>
    </w:p>
    <w:p w14:paraId="520F4C6D" w14:textId="2AF21BCF" w:rsidR="00EB0F3B" w:rsidRPr="00744DFB" w:rsidRDefault="00D40681" w:rsidP="00744DFB">
      <w:pPr>
        <w:pStyle w:val="IntenseQuote"/>
        <w:pBdr>
          <w:top w:val="single" w:sz="4" w:space="10" w:color="297C52" w:themeColor="accent3" w:themeShade="BF"/>
          <w:bottom w:val="single" w:sz="4" w:space="10" w:color="297C52" w:themeColor="accent3" w:themeShade="BF"/>
        </w:pBdr>
        <w:jc w:val="both"/>
        <w:rPr>
          <w:rStyle w:val="IntenseEmphasis"/>
          <w:b/>
          <w:bCs/>
          <w:color w:val="7CD4A8" w:themeColor="accent3" w:themeTint="99"/>
        </w:rPr>
      </w:pPr>
      <w:r w:rsidRPr="00744DFB">
        <w:rPr>
          <w:rStyle w:val="IntenseEmphasis"/>
          <w:b/>
          <w:bCs/>
          <w:color w:val="7CD4A8" w:themeColor="accent3" w:themeTint="99"/>
        </w:rPr>
        <w:t xml:space="preserve">FOR EACH APPLICABLE CHARGING OBJECTIVE, USING THE TABLE BELOW AND THE DOCUMENT TITLED ‘DCP 266_DCUSA OBJECTIVE MATRIX’, PLEASE INDICATE WHETHER YOU BELIEVE THAT THE CP HAS A POSITIVE, NEGATIVE, NEUTRAL OR NO </w:t>
      </w:r>
      <w:r w:rsidR="00EB0F3B" w:rsidRPr="00744DFB">
        <w:rPr>
          <w:rStyle w:val="IntenseEmphasis"/>
          <w:b/>
          <w:bCs/>
          <w:color w:val="7CD4A8" w:themeColor="accent3" w:themeTint="99"/>
        </w:rPr>
        <w:t xml:space="preserve">IMPACT </w:t>
      </w:r>
      <w:r w:rsidRPr="00744DFB">
        <w:rPr>
          <w:rStyle w:val="IntenseEmphasis"/>
          <w:b/>
          <w:bCs/>
          <w:color w:val="7CD4A8" w:themeColor="accent3" w:themeTint="99"/>
        </w:rPr>
        <w:t xml:space="preserve">ON THE </w:t>
      </w:r>
      <w:r w:rsidR="00EB0F3B" w:rsidRPr="00744DFB">
        <w:rPr>
          <w:rStyle w:val="IntenseEmphasis"/>
          <w:b/>
          <w:bCs/>
          <w:color w:val="7CD4A8" w:themeColor="accent3" w:themeTint="99"/>
        </w:rPr>
        <w:t xml:space="preserve">OBJECTIVE AND RETURN TO ME PRIOR TO NEXT </w:t>
      </w:r>
      <w:r w:rsidRPr="00744DFB">
        <w:rPr>
          <w:rStyle w:val="IntenseEmphasis"/>
          <w:b/>
          <w:bCs/>
          <w:color w:val="7CD4A8" w:themeColor="accent3" w:themeTint="99"/>
        </w:rPr>
        <w:t>M</w:t>
      </w:r>
      <w:r w:rsidR="00EB0F3B" w:rsidRPr="00744DFB">
        <w:rPr>
          <w:rStyle w:val="IntenseEmphasis"/>
          <w:b/>
          <w:bCs/>
          <w:color w:val="7CD4A8" w:themeColor="accent3" w:themeTint="99"/>
        </w:rPr>
        <w:t>EETING</w:t>
      </w:r>
      <w:r w:rsidRPr="00744DFB">
        <w:rPr>
          <w:rStyle w:val="IntenseEmphasis"/>
          <w:b/>
          <w:bCs/>
          <w:color w:val="7CD4A8" w:themeColor="accent3" w:themeTint="99"/>
        </w:rPr>
        <w:t xml:space="preserve"> ON 12 AUGUST 2019. </w:t>
      </w:r>
      <w:r w:rsidR="00EB0F3B" w:rsidRPr="00744DFB">
        <w:rPr>
          <w:rStyle w:val="IntenseEmphasis"/>
          <w:b/>
          <w:bCs/>
          <w:color w:val="7CD4A8" w:themeColor="accent3" w:themeTint="99"/>
        </w:rPr>
        <w:t xml:space="preserve"> </w:t>
      </w:r>
      <w:r w:rsidR="00744DFB" w:rsidRPr="00744DFB">
        <w:rPr>
          <w:rStyle w:val="IntenseEmphasis"/>
          <w:b/>
          <w:bCs/>
          <w:color w:val="7CD4A8" w:themeColor="accent3" w:themeTint="99"/>
        </w:rPr>
        <w:t xml:space="preserve">ALL </w:t>
      </w:r>
      <w:r w:rsidRPr="00744DFB">
        <w:rPr>
          <w:rStyle w:val="IntenseEmphasis"/>
          <w:b/>
          <w:bCs/>
          <w:color w:val="7CD4A8" w:themeColor="accent3" w:themeTint="99"/>
        </w:rPr>
        <w:t>FOUR CHOICES</w:t>
      </w:r>
      <w:r w:rsidR="00744DFB" w:rsidRPr="00744DFB">
        <w:rPr>
          <w:rStyle w:val="IntenseEmphasis"/>
          <w:b/>
          <w:bCs/>
          <w:color w:val="7CD4A8" w:themeColor="accent3" w:themeTint="99"/>
        </w:rPr>
        <w:t xml:space="preserve"> ARE INCLUDED BELOW FOR EASE AND UPON MAKING YOUR SELECTION THE REMAINING</w:t>
      </w:r>
      <w:r w:rsidR="00EB0F3B" w:rsidRPr="00744DFB">
        <w:rPr>
          <w:rStyle w:val="IntenseEmphasis"/>
          <w:b/>
          <w:bCs/>
          <w:color w:val="7CD4A8" w:themeColor="accent3" w:themeTint="99"/>
        </w:rPr>
        <w:t xml:space="preserve"> THREE </w:t>
      </w:r>
      <w:r w:rsidR="00744DFB" w:rsidRPr="00744DFB">
        <w:rPr>
          <w:rStyle w:val="IntenseEmphasis"/>
          <w:b/>
          <w:bCs/>
          <w:color w:val="7CD4A8" w:themeColor="accent3" w:themeTint="99"/>
        </w:rPr>
        <w:t>CAN BE DELETED AND</w:t>
      </w:r>
      <w:r w:rsidR="00EB0F3B" w:rsidRPr="00744DFB">
        <w:rPr>
          <w:rStyle w:val="IntenseEmphasis"/>
          <w:b/>
          <w:bCs/>
          <w:color w:val="7CD4A8" w:themeColor="accent3" w:themeTint="99"/>
        </w:rPr>
        <w:t xml:space="preserve"> RATIONALE FOR THE REMAINING ONE THAT HAS BEEN CHOSEN</w:t>
      </w:r>
      <w:r w:rsidR="00744DFB" w:rsidRPr="00744DFB">
        <w:rPr>
          <w:rStyle w:val="IntenseEmphasis"/>
          <w:b/>
          <w:bCs/>
          <w:color w:val="7CD4A8" w:themeColor="accent3" w:themeTint="99"/>
        </w:rPr>
        <w:t xml:space="preserve"> IS TO BE ADDED</w:t>
      </w:r>
      <w:r w:rsidR="00EB0F3B" w:rsidRPr="00744DFB">
        <w:rPr>
          <w:rStyle w:val="IntenseEmphasis"/>
          <w:b/>
          <w:bCs/>
          <w:color w:val="7CD4A8" w:themeColor="accent3" w:themeTint="99"/>
        </w:rPr>
        <w:t>.</w:t>
      </w:r>
      <w:bookmarkStart w:id="0" w:name="_GoBack"/>
      <w:bookmarkEnd w:id="0"/>
    </w:p>
    <w:p w14:paraId="2FF3CCA3" w14:textId="77777777" w:rsidR="00EB0F3B" w:rsidRDefault="00EB0F3B" w:rsidP="00EB0F3B"/>
    <w:tbl>
      <w:tblPr>
        <w:tblW w:w="5000" w:type="pct"/>
        <w:tblCellMar>
          <w:left w:w="0" w:type="dxa"/>
          <w:right w:w="0" w:type="dxa"/>
        </w:tblCellMar>
        <w:tblLook w:val="04A0" w:firstRow="1" w:lastRow="0" w:firstColumn="1" w:lastColumn="0" w:noHBand="0" w:noVBand="1"/>
      </w:tblPr>
      <w:tblGrid>
        <w:gridCol w:w="5606"/>
        <w:gridCol w:w="1273"/>
        <w:gridCol w:w="3557"/>
      </w:tblGrid>
      <w:tr w:rsidR="00EB0F3B" w14:paraId="6D44EB09" w14:textId="77777777" w:rsidTr="00EB0F3B">
        <w:trPr>
          <w:trHeight w:val="608"/>
        </w:trPr>
        <w:tc>
          <w:tcPr>
            <w:tcW w:w="2686" w:type="pct"/>
            <w:tcBorders>
              <w:top w:val="single" w:sz="12" w:space="0" w:color="767171"/>
              <w:left w:val="single" w:sz="12" w:space="0" w:color="767171"/>
              <w:bottom w:val="single" w:sz="12" w:space="0" w:color="767171"/>
              <w:right w:val="single" w:sz="8" w:space="0" w:color="CCE0DA"/>
            </w:tcBorders>
            <w:shd w:val="clear" w:color="auto" w:fill="008576"/>
            <w:hideMark/>
          </w:tcPr>
          <w:p w14:paraId="36FE574A" w14:textId="77777777" w:rsidR="00EB0F3B" w:rsidRDefault="00EB0F3B">
            <w:pPr>
              <w:ind w:left="127"/>
              <w:rPr>
                <w:b/>
                <w:bCs/>
                <w:color w:val="FFFFFF"/>
              </w:rPr>
            </w:pPr>
            <w:r>
              <w:rPr>
                <w:b/>
                <w:bCs/>
                <w:color w:val="FFFFFF"/>
              </w:rPr>
              <w:t>DCUSA Charging Objectives</w:t>
            </w:r>
          </w:p>
        </w:tc>
        <w:tc>
          <w:tcPr>
            <w:tcW w:w="610" w:type="pct"/>
            <w:tcBorders>
              <w:top w:val="single" w:sz="12" w:space="0" w:color="767171"/>
              <w:left w:val="nil"/>
              <w:bottom w:val="single" w:sz="12" w:space="0" w:color="767171"/>
              <w:right w:val="single" w:sz="12" w:space="0" w:color="767171"/>
            </w:tcBorders>
            <w:shd w:val="clear" w:color="auto" w:fill="008576"/>
            <w:hideMark/>
          </w:tcPr>
          <w:p w14:paraId="56679610" w14:textId="77777777" w:rsidR="00EB0F3B" w:rsidRDefault="00EB0F3B">
            <w:pPr>
              <w:spacing w:before="40" w:after="40"/>
              <w:ind w:left="57" w:right="57"/>
              <w:rPr>
                <w:b/>
                <w:bCs/>
                <w:color w:val="FFFFFF"/>
              </w:rPr>
            </w:pPr>
            <w:r>
              <w:rPr>
                <w:b/>
                <w:bCs/>
                <w:color w:val="FFFFFF"/>
              </w:rPr>
              <w:t>Identified impact</w:t>
            </w:r>
          </w:p>
        </w:tc>
        <w:tc>
          <w:tcPr>
            <w:tcW w:w="1704" w:type="pct"/>
            <w:tcBorders>
              <w:top w:val="single" w:sz="12" w:space="0" w:color="767171"/>
              <w:left w:val="nil"/>
              <w:bottom w:val="single" w:sz="12" w:space="0" w:color="767171"/>
              <w:right w:val="single" w:sz="12" w:space="0" w:color="767171"/>
            </w:tcBorders>
            <w:shd w:val="clear" w:color="auto" w:fill="008576"/>
            <w:hideMark/>
          </w:tcPr>
          <w:p w14:paraId="5EF4B808" w14:textId="77777777" w:rsidR="00EB0F3B" w:rsidRDefault="00EB0F3B">
            <w:pPr>
              <w:spacing w:before="40" w:after="40"/>
              <w:ind w:left="57" w:right="57"/>
              <w:rPr>
                <w:b/>
                <w:bCs/>
                <w:color w:val="FFFFFF"/>
              </w:rPr>
            </w:pPr>
            <w:r>
              <w:rPr>
                <w:b/>
                <w:bCs/>
                <w:color w:val="FFFFFF"/>
              </w:rPr>
              <w:t>Rationale for choice</w:t>
            </w:r>
          </w:p>
        </w:tc>
      </w:tr>
      <w:tr w:rsidR="00EB0F3B" w14:paraId="3B9F256E" w14:textId="77777777" w:rsidTr="00EB0F3B">
        <w:trPr>
          <w:trHeight w:val="397"/>
        </w:trPr>
        <w:tc>
          <w:tcPr>
            <w:tcW w:w="2686" w:type="pct"/>
            <w:tcBorders>
              <w:top w:val="nil"/>
              <w:left w:val="single" w:sz="12" w:space="0" w:color="767171"/>
              <w:bottom w:val="single" w:sz="12" w:space="0" w:color="767171"/>
              <w:right w:val="single" w:sz="8" w:space="0" w:color="CCE0DA"/>
            </w:tcBorders>
            <w:hideMark/>
          </w:tcPr>
          <w:p w14:paraId="07F9BA33" w14:textId="77777777" w:rsidR="00EB0F3B" w:rsidRDefault="00EB0F3B" w:rsidP="00D40681">
            <w:pPr>
              <w:numPr>
                <w:ilvl w:val="0"/>
                <w:numId w:val="1"/>
              </w:numPr>
              <w:spacing w:before="120" w:after="120" w:line="300" w:lineRule="atLeast"/>
              <w:ind w:left="426"/>
              <w:rPr>
                <w:sz w:val="20"/>
                <w:szCs w:val="20"/>
              </w:rPr>
            </w:pPr>
            <w:r>
              <w:t>that compliance by each DNO Party with the Charging Methodologies facilitates the discharge by the DNO Party of the obligations imposed on it under the Act and by its Distribution Licence</w:t>
            </w:r>
          </w:p>
        </w:tc>
        <w:tc>
          <w:tcPr>
            <w:tcW w:w="610" w:type="pct"/>
            <w:tcBorders>
              <w:top w:val="nil"/>
              <w:left w:val="nil"/>
              <w:bottom w:val="single" w:sz="12" w:space="0" w:color="767171"/>
              <w:right w:val="single" w:sz="12" w:space="0" w:color="767171"/>
            </w:tcBorders>
            <w:hideMark/>
          </w:tcPr>
          <w:p w14:paraId="1268E8CF" w14:textId="77777777" w:rsidR="00EB0F3B" w:rsidRDefault="00EB0F3B">
            <w:pPr>
              <w:ind w:left="113" w:right="113"/>
              <w:rPr>
                <w:b/>
                <w:bCs/>
                <w:color w:val="00B050"/>
              </w:rPr>
            </w:pPr>
            <w:r>
              <w:rPr>
                <w:b/>
                <w:bCs/>
                <w:color w:val="00B050"/>
              </w:rPr>
              <w:t>Positive</w:t>
            </w:r>
          </w:p>
          <w:p w14:paraId="5DB7FC1A" w14:textId="77777777" w:rsidR="00EB0F3B" w:rsidRDefault="00EB0F3B">
            <w:pPr>
              <w:ind w:left="113" w:right="113"/>
              <w:rPr>
                <w:b/>
                <w:bCs/>
              </w:rPr>
            </w:pPr>
            <w:r>
              <w:rPr>
                <w:b/>
                <w:bCs/>
                <w:color w:val="FF0000"/>
              </w:rPr>
              <w:t>Negative</w:t>
            </w:r>
          </w:p>
          <w:p w14:paraId="764F6668" w14:textId="77777777" w:rsidR="00EB0F3B" w:rsidRDefault="00EB0F3B">
            <w:pPr>
              <w:ind w:left="113" w:right="113"/>
              <w:rPr>
                <w:b/>
                <w:bCs/>
                <w:color w:val="ED7D31"/>
              </w:rPr>
            </w:pPr>
            <w:r>
              <w:rPr>
                <w:b/>
                <w:bCs/>
                <w:color w:val="ED7D31"/>
              </w:rPr>
              <w:t>None</w:t>
            </w:r>
          </w:p>
          <w:p w14:paraId="5F189260" w14:textId="77777777" w:rsidR="00EB0F3B" w:rsidRDefault="00EB0F3B">
            <w:pPr>
              <w:ind w:left="113" w:right="113"/>
            </w:pPr>
            <w:r>
              <w:rPr>
                <w:b/>
                <w:bCs/>
                <w:color w:val="4472C4"/>
              </w:rPr>
              <w:t>Neutral</w:t>
            </w:r>
            <w:r>
              <w:rPr>
                <w:color w:val="4472C4"/>
              </w:rPr>
              <w:t xml:space="preserve"> </w:t>
            </w:r>
          </w:p>
        </w:tc>
        <w:tc>
          <w:tcPr>
            <w:tcW w:w="1704" w:type="pct"/>
            <w:tcBorders>
              <w:top w:val="nil"/>
              <w:left w:val="nil"/>
              <w:bottom w:val="single" w:sz="12" w:space="0" w:color="767171"/>
              <w:right w:val="single" w:sz="12" w:space="0" w:color="767171"/>
            </w:tcBorders>
          </w:tcPr>
          <w:p w14:paraId="4CB44A9C" w14:textId="77777777" w:rsidR="00EB0F3B" w:rsidRDefault="00EB0F3B">
            <w:pPr>
              <w:ind w:left="113" w:right="113"/>
              <w:rPr>
                <w:b/>
                <w:bCs/>
                <w:color w:val="00B050"/>
              </w:rPr>
            </w:pPr>
          </w:p>
        </w:tc>
      </w:tr>
      <w:tr w:rsidR="00EB0F3B" w14:paraId="5520352B" w14:textId="77777777" w:rsidTr="00EB0F3B">
        <w:trPr>
          <w:trHeight w:val="1395"/>
        </w:trPr>
        <w:tc>
          <w:tcPr>
            <w:tcW w:w="2686" w:type="pct"/>
            <w:tcBorders>
              <w:top w:val="nil"/>
              <w:left w:val="single" w:sz="12" w:space="0" w:color="767171"/>
              <w:bottom w:val="single" w:sz="12" w:space="0" w:color="767171"/>
              <w:right w:val="single" w:sz="8" w:space="0" w:color="CCE0DA"/>
            </w:tcBorders>
            <w:hideMark/>
          </w:tcPr>
          <w:p w14:paraId="636BAFDF" w14:textId="77777777" w:rsidR="00EB0F3B" w:rsidRDefault="00EB0F3B" w:rsidP="00D40681">
            <w:pPr>
              <w:numPr>
                <w:ilvl w:val="0"/>
                <w:numId w:val="1"/>
              </w:numPr>
              <w:spacing w:before="120" w:after="120" w:line="300" w:lineRule="atLeast"/>
              <w:ind w:left="426"/>
            </w:pPr>
            <w: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tc>
        <w:tc>
          <w:tcPr>
            <w:tcW w:w="610" w:type="pct"/>
            <w:tcBorders>
              <w:top w:val="nil"/>
              <w:left w:val="nil"/>
              <w:bottom w:val="single" w:sz="12" w:space="0" w:color="767171"/>
              <w:right w:val="single" w:sz="12" w:space="0" w:color="767171"/>
            </w:tcBorders>
            <w:hideMark/>
          </w:tcPr>
          <w:p w14:paraId="3546DFB8" w14:textId="77777777" w:rsidR="00EB0F3B" w:rsidRDefault="00EB0F3B">
            <w:pPr>
              <w:ind w:left="113" w:right="113"/>
              <w:rPr>
                <w:b/>
                <w:bCs/>
                <w:color w:val="00B050"/>
              </w:rPr>
            </w:pPr>
            <w:r>
              <w:rPr>
                <w:b/>
                <w:bCs/>
                <w:color w:val="00B050"/>
              </w:rPr>
              <w:t>Positive</w:t>
            </w:r>
          </w:p>
          <w:p w14:paraId="7B016A49" w14:textId="77777777" w:rsidR="00EB0F3B" w:rsidRDefault="00EB0F3B">
            <w:pPr>
              <w:ind w:left="113" w:right="113"/>
              <w:rPr>
                <w:b/>
                <w:bCs/>
              </w:rPr>
            </w:pPr>
            <w:r>
              <w:rPr>
                <w:b/>
                <w:bCs/>
                <w:color w:val="FF0000"/>
              </w:rPr>
              <w:t>Negative</w:t>
            </w:r>
          </w:p>
          <w:p w14:paraId="00576790" w14:textId="77777777" w:rsidR="00EB0F3B" w:rsidRDefault="00EB0F3B">
            <w:pPr>
              <w:ind w:left="113" w:right="113"/>
              <w:rPr>
                <w:b/>
                <w:bCs/>
                <w:color w:val="ED7D31"/>
              </w:rPr>
            </w:pPr>
            <w:r>
              <w:rPr>
                <w:b/>
                <w:bCs/>
                <w:color w:val="ED7D31"/>
              </w:rPr>
              <w:t>None</w:t>
            </w:r>
          </w:p>
          <w:p w14:paraId="342CA84D" w14:textId="77777777" w:rsidR="00EB0F3B" w:rsidRDefault="00EB0F3B">
            <w:pPr>
              <w:ind w:left="113" w:right="113"/>
            </w:pPr>
            <w:r>
              <w:rPr>
                <w:b/>
                <w:bCs/>
                <w:color w:val="4472C4"/>
              </w:rPr>
              <w:t>Neutral</w:t>
            </w:r>
          </w:p>
        </w:tc>
        <w:tc>
          <w:tcPr>
            <w:tcW w:w="1704" w:type="pct"/>
            <w:tcBorders>
              <w:top w:val="nil"/>
              <w:left w:val="nil"/>
              <w:bottom w:val="single" w:sz="12" w:space="0" w:color="767171"/>
              <w:right w:val="single" w:sz="12" w:space="0" w:color="767171"/>
            </w:tcBorders>
          </w:tcPr>
          <w:p w14:paraId="3041532A" w14:textId="77777777" w:rsidR="00EB0F3B" w:rsidRDefault="00EB0F3B">
            <w:pPr>
              <w:ind w:left="113" w:right="113"/>
              <w:rPr>
                <w:b/>
                <w:bCs/>
                <w:color w:val="00B050"/>
              </w:rPr>
            </w:pPr>
          </w:p>
        </w:tc>
      </w:tr>
      <w:tr w:rsidR="00EB0F3B" w14:paraId="286E1078" w14:textId="77777777" w:rsidTr="00EB0F3B">
        <w:trPr>
          <w:trHeight w:val="1120"/>
        </w:trPr>
        <w:tc>
          <w:tcPr>
            <w:tcW w:w="2686" w:type="pct"/>
            <w:tcBorders>
              <w:top w:val="nil"/>
              <w:left w:val="single" w:sz="12" w:space="0" w:color="767171"/>
              <w:bottom w:val="single" w:sz="12" w:space="0" w:color="767171"/>
              <w:right w:val="single" w:sz="8" w:space="0" w:color="CCE0DA"/>
            </w:tcBorders>
            <w:hideMark/>
          </w:tcPr>
          <w:p w14:paraId="4FA49454" w14:textId="77777777" w:rsidR="00EB0F3B" w:rsidRDefault="00EB0F3B" w:rsidP="00D40681">
            <w:pPr>
              <w:numPr>
                <w:ilvl w:val="0"/>
                <w:numId w:val="1"/>
              </w:numPr>
              <w:spacing w:before="120" w:after="120" w:line="300" w:lineRule="atLeast"/>
              <w:ind w:left="426"/>
            </w:pPr>
            <w: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c>
          <w:tcPr>
            <w:tcW w:w="610" w:type="pct"/>
            <w:tcBorders>
              <w:top w:val="nil"/>
              <w:left w:val="nil"/>
              <w:bottom w:val="single" w:sz="12" w:space="0" w:color="767171"/>
              <w:right w:val="single" w:sz="12" w:space="0" w:color="767171"/>
            </w:tcBorders>
            <w:hideMark/>
          </w:tcPr>
          <w:p w14:paraId="77DB2EF5" w14:textId="77777777" w:rsidR="00EB0F3B" w:rsidRDefault="00EB0F3B">
            <w:pPr>
              <w:ind w:left="113" w:right="113"/>
              <w:rPr>
                <w:b/>
                <w:bCs/>
                <w:color w:val="00B050"/>
              </w:rPr>
            </w:pPr>
            <w:r>
              <w:rPr>
                <w:b/>
                <w:bCs/>
                <w:color w:val="00B050"/>
              </w:rPr>
              <w:t>Positive</w:t>
            </w:r>
          </w:p>
          <w:p w14:paraId="2EA5620B" w14:textId="77777777" w:rsidR="00EB0F3B" w:rsidRDefault="00EB0F3B">
            <w:pPr>
              <w:ind w:left="113" w:right="113"/>
              <w:rPr>
                <w:b/>
                <w:bCs/>
              </w:rPr>
            </w:pPr>
            <w:r>
              <w:rPr>
                <w:b/>
                <w:bCs/>
                <w:color w:val="FF0000"/>
              </w:rPr>
              <w:t>Negative</w:t>
            </w:r>
          </w:p>
          <w:p w14:paraId="19AF0F59" w14:textId="77777777" w:rsidR="00EB0F3B" w:rsidRDefault="00EB0F3B">
            <w:pPr>
              <w:ind w:left="113" w:right="113"/>
              <w:rPr>
                <w:b/>
                <w:bCs/>
                <w:color w:val="ED7D31"/>
              </w:rPr>
            </w:pPr>
            <w:r>
              <w:rPr>
                <w:b/>
                <w:bCs/>
                <w:color w:val="ED7D31"/>
              </w:rPr>
              <w:t>None</w:t>
            </w:r>
          </w:p>
          <w:p w14:paraId="6BEC8A84" w14:textId="77777777" w:rsidR="00EB0F3B" w:rsidRDefault="00EB0F3B">
            <w:pPr>
              <w:ind w:left="113" w:right="113"/>
              <w:rPr>
                <w:b/>
                <w:bCs/>
                <w:color w:val="ED7D31"/>
              </w:rPr>
            </w:pPr>
            <w:r>
              <w:rPr>
                <w:b/>
                <w:bCs/>
                <w:color w:val="4472C4"/>
              </w:rPr>
              <w:t>Neutral</w:t>
            </w:r>
          </w:p>
        </w:tc>
        <w:tc>
          <w:tcPr>
            <w:tcW w:w="1704" w:type="pct"/>
            <w:tcBorders>
              <w:top w:val="nil"/>
              <w:left w:val="nil"/>
              <w:bottom w:val="single" w:sz="12" w:space="0" w:color="767171"/>
              <w:right w:val="single" w:sz="12" w:space="0" w:color="767171"/>
            </w:tcBorders>
          </w:tcPr>
          <w:p w14:paraId="6C8AEB34" w14:textId="77777777" w:rsidR="00EB0F3B" w:rsidRDefault="00EB0F3B">
            <w:pPr>
              <w:ind w:left="113" w:right="113"/>
              <w:rPr>
                <w:b/>
                <w:bCs/>
                <w:color w:val="00B050"/>
              </w:rPr>
            </w:pPr>
          </w:p>
        </w:tc>
      </w:tr>
      <w:tr w:rsidR="00EB0F3B" w14:paraId="45671608" w14:textId="77777777" w:rsidTr="00EB0F3B">
        <w:trPr>
          <w:trHeight w:val="397"/>
        </w:trPr>
        <w:tc>
          <w:tcPr>
            <w:tcW w:w="2686" w:type="pct"/>
            <w:tcBorders>
              <w:top w:val="nil"/>
              <w:left w:val="single" w:sz="12" w:space="0" w:color="767171"/>
              <w:bottom w:val="single" w:sz="12" w:space="0" w:color="767171"/>
              <w:right w:val="single" w:sz="8" w:space="0" w:color="CCE0DA"/>
            </w:tcBorders>
            <w:hideMark/>
          </w:tcPr>
          <w:p w14:paraId="217A98B2" w14:textId="77777777" w:rsidR="00EB0F3B" w:rsidRDefault="00EB0F3B" w:rsidP="00D40681">
            <w:pPr>
              <w:numPr>
                <w:ilvl w:val="0"/>
                <w:numId w:val="1"/>
              </w:numPr>
              <w:spacing w:before="120" w:after="120" w:line="300" w:lineRule="atLeast"/>
              <w:ind w:left="426"/>
            </w:pPr>
            <w:r>
              <w:t>that, so far as is consistent with Clauses 3.2.1 to 3.2.3, the Charging Methodologies, so far as is reasonably practicable, properly take account of developments in each DNO Party’s Distribution Business</w:t>
            </w:r>
          </w:p>
        </w:tc>
        <w:tc>
          <w:tcPr>
            <w:tcW w:w="610" w:type="pct"/>
            <w:tcBorders>
              <w:top w:val="nil"/>
              <w:left w:val="nil"/>
              <w:bottom w:val="single" w:sz="12" w:space="0" w:color="767171"/>
              <w:right w:val="single" w:sz="12" w:space="0" w:color="767171"/>
            </w:tcBorders>
            <w:hideMark/>
          </w:tcPr>
          <w:p w14:paraId="7740BAFA" w14:textId="77777777" w:rsidR="00EB0F3B" w:rsidRDefault="00EB0F3B">
            <w:pPr>
              <w:ind w:left="113" w:right="113"/>
              <w:rPr>
                <w:b/>
                <w:bCs/>
                <w:color w:val="00B050"/>
              </w:rPr>
            </w:pPr>
            <w:r>
              <w:rPr>
                <w:b/>
                <w:bCs/>
                <w:color w:val="00B050"/>
              </w:rPr>
              <w:t>Positive</w:t>
            </w:r>
          </w:p>
          <w:p w14:paraId="0952129E" w14:textId="77777777" w:rsidR="00EB0F3B" w:rsidRDefault="00EB0F3B">
            <w:pPr>
              <w:ind w:left="113" w:right="113"/>
              <w:rPr>
                <w:b/>
                <w:bCs/>
              </w:rPr>
            </w:pPr>
            <w:r>
              <w:rPr>
                <w:b/>
                <w:bCs/>
                <w:color w:val="FF0000"/>
              </w:rPr>
              <w:t>Negative</w:t>
            </w:r>
          </w:p>
          <w:p w14:paraId="2CA0EC60" w14:textId="77777777" w:rsidR="00EB0F3B" w:rsidRDefault="00EB0F3B">
            <w:pPr>
              <w:ind w:left="113" w:right="113"/>
              <w:rPr>
                <w:b/>
                <w:bCs/>
                <w:color w:val="ED7D31"/>
              </w:rPr>
            </w:pPr>
            <w:r>
              <w:rPr>
                <w:b/>
                <w:bCs/>
                <w:color w:val="ED7D31"/>
              </w:rPr>
              <w:t>None</w:t>
            </w:r>
          </w:p>
          <w:p w14:paraId="3498E276" w14:textId="77777777" w:rsidR="00EB0F3B" w:rsidRDefault="00EB0F3B">
            <w:pPr>
              <w:ind w:left="113" w:right="113"/>
              <w:rPr>
                <w:b/>
                <w:bCs/>
                <w:color w:val="ED7D31"/>
              </w:rPr>
            </w:pPr>
            <w:r>
              <w:rPr>
                <w:b/>
                <w:bCs/>
                <w:color w:val="4472C4"/>
              </w:rPr>
              <w:t>Neutral</w:t>
            </w:r>
          </w:p>
        </w:tc>
        <w:tc>
          <w:tcPr>
            <w:tcW w:w="1704" w:type="pct"/>
            <w:tcBorders>
              <w:top w:val="nil"/>
              <w:left w:val="nil"/>
              <w:bottom w:val="single" w:sz="12" w:space="0" w:color="767171"/>
              <w:right w:val="single" w:sz="12" w:space="0" w:color="767171"/>
            </w:tcBorders>
          </w:tcPr>
          <w:p w14:paraId="68349C8F" w14:textId="77777777" w:rsidR="00EB0F3B" w:rsidRDefault="00EB0F3B">
            <w:pPr>
              <w:ind w:left="113" w:right="113"/>
              <w:rPr>
                <w:b/>
                <w:bCs/>
                <w:color w:val="00B050"/>
              </w:rPr>
            </w:pPr>
          </w:p>
        </w:tc>
      </w:tr>
      <w:tr w:rsidR="00EB0F3B" w14:paraId="0E9934FD" w14:textId="77777777" w:rsidTr="00EB0F3B">
        <w:trPr>
          <w:trHeight w:val="397"/>
        </w:trPr>
        <w:tc>
          <w:tcPr>
            <w:tcW w:w="2686" w:type="pct"/>
            <w:tcBorders>
              <w:top w:val="nil"/>
              <w:left w:val="single" w:sz="12" w:space="0" w:color="767171"/>
              <w:bottom w:val="single" w:sz="12" w:space="0" w:color="767171"/>
              <w:right w:val="single" w:sz="8" w:space="0" w:color="CCE0DA"/>
            </w:tcBorders>
            <w:hideMark/>
          </w:tcPr>
          <w:p w14:paraId="1EC502F5" w14:textId="77777777" w:rsidR="00EB0F3B" w:rsidRDefault="00EB0F3B" w:rsidP="00D40681">
            <w:pPr>
              <w:numPr>
                <w:ilvl w:val="0"/>
                <w:numId w:val="1"/>
              </w:numPr>
              <w:spacing w:before="120" w:after="120" w:line="300" w:lineRule="atLeast"/>
              <w:ind w:left="426"/>
            </w:pPr>
            <w: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c>
          <w:tcPr>
            <w:tcW w:w="610" w:type="pct"/>
            <w:tcBorders>
              <w:top w:val="nil"/>
              <w:left w:val="nil"/>
              <w:bottom w:val="single" w:sz="12" w:space="0" w:color="767171"/>
              <w:right w:val="single" w:sz="12" w:space="0" w:color="767171"/>
            </w:tcBorders>
            <w:hideMark/>
          </w:tcPr>
          <w:p w14:paraId="070F2083" w14:textId="77777777" w:rsidR="00EB0F3B" w:rsidRDefault="00EB0F3B">
            <w:pPr>
              <w:ind w:left="113" w:right="113"/>
              <w:rPr>
                <w:b/>
                <w:bCs/>
                <w:color w:val="00B050"/>
              </w:rPr>
            </w:pPr>
            <w:r>
              <w:rPr>
                <w:b/>
                <w:bCs/>
                <w:color w:val="00B050"/>
              </w:rPr>
              <w:t>Positive</w:t>
            </w:r>
          </w:p>
          <w:p w14:paraId="6A5EFB35" w14:textId="77777777" w:rsidR="00EB0F3B" w:rsidRDefault="00EB0F3B">
            <w:pPr>
              <w:ind w:left="113" w:right="113"/>
              <w:rPr>
                <w:b/>
                <w:bCs/>
              </w:rPr>
            </w:pPr>
            <w:r>
              <w:rPr>
                <w:b/>
                <w:bCs/>
                <w:color w:val="FF0000"/>
              </w:rPr>
              <w:t>Negative</w:t>
            </w:r>
          </w:p>
          <w:p w14:paraId="58D8143E" w14:textId="77777777" w:rsidR="00EB0F3B" w:rsidRDefault="00EB0F3B">
            <w:pPr>
              <w:ind w:left="113" w:right="113"/>
              <w:rPr>
                <w:b/>
                <w:bCs/>
                <w:color w:val="ED7D31"/>
              </w:rPr>
            </w:pPr>
            <w:r>
              <w:rPr>
                <w:b/>
                <w:bCs/>
                <w:color w:val="ED7D31"/>
              </w:rPr>
              <w:t>None</w:t>
            </w:r>
          </w:p>
          <w:p w14:paraId="748D6F41" w14:textId="77777777" w:rsidR="00EB0F3B" w:rsidRDefault="00EB0F3B">
            <w:pPr>
              <w:ind w:left="113" w:right="113"/>
              <w:rPr>
                <w:b/>
                <w:bCs/>
                <w:color w:val="ED7D31"/>
              </w:rPr>
            </w:pPr>
            <w:r>
              <w:rPr>
                <w:b/>
                <w:bCs/>
                <w:color w:val="4472C4"/>
              </w:rPr>
              <w:t>Neutral</w:t>
            </w:r>
          </w:p>
        </w:tc>
        <w:tc>
          <w:tcPr>
            <w:tcW w:w="1704" w:type="pct"/>
            <w:tcBorders>
              <w:top w:val="nil"/>
              <w:left w:val="nil"/>
              <w:bottom w:val="single" w:sz="12" w:space="0" w:color="767171"/>
              <w:right w:val="single" w:sz="12" w:space="0" w:color="767171"/>
            </w:tcBorders>
          </w:tcPr>
          <w:p w14:paraId="70F1FD8E" w14:textId="77777777" w:rsidR="00EB0F3B" w:rsidRDefault="00EB0F3B">
            <w:pPr>
              <w:ind w:left="113" w:right="113"/>
              <w:rPr>
                <w:b/>
                <w:bCs/>
                <w:color w:val="00B050"/>
              </w:rPr>
            </w:pPr>
          </w:p>
        </w:tc>
      </w:tr>
      <w:tr w:rsidR="00EB0F3B" w14:paraId="781217D2" w14:textId="77777777" w:rsidTr="00EB0F3B">
        <w:trPr>
          <w:trHeight w:val="397"/>
        </w:trPr>
        <w:tc>
          <w:tcPr>
            <w:tcW w:w="2686" w:type="pct"/>
            <w:tcBorders>
              <w:top w:val="nil"/>
              <w:left w:val="single" w:sz="12" w:space="0" w:color="767171"/>
              <w:bottom w:val="single" w:sz="12" w:space="0" w:color="767171"/>
              <w:right w:val="single" w:sz="8" w:space="0" w:color="CCE0DA"/>
            </w:tcBorders>
            <w:hideMark/>
          </w:tcPr>
          <w:p w14:paraId="26927FE4" w14:textId="77777777" w:rsidR="00EB0F3B" w:rsidRDefault="00EB0F3B" w:rsidP="00D40681">
            <w:pPr>
              <w:numPr>
                <w:ilvl w:val="0"/>
                <w:numId w:val="1"/>
              </w:numPr>
              <w:spacing w:before="120" w:after="120" w:line="300" w:lineRule="atLeast"/>
              <w:ind w:left="426"/>
            </w:pPr>
            <w:r>
              <w:t>that compliance with the Charging Methodologies promotes efficiency in its own implementation and administration.</w:t>
            </w:r>
          </w:p>
        </w:tc>
        <w:tc>
          <w:tcPr>
            <w:tcW w:w="610" w:type="pct"/>
            <w:tcBorders>
              <w:top w:val="nil"/>
              <w:left w:val="nil"/>
              <w:bottom w:val="single" w:sz="12" w:space="0" w:color="767171"/>
              <w:right w:val="single" w:sz="12" w:space="0" w:color="767171"/>
            </w:tcBorders>
            <w:hideMark/>
          </w:tcPr>
          <w:p w14:paraId="5D410739" w14:textId="77777777" w:rsidR="00EB0F3B" w:rsidRDefault="00EB0F3B">
            <w:pPr>
              <w:ind w:left="113" w:right="113"/>
              <w:rPr>
                <w:b/>
                <w:bCs/>
                <w:color w:val="00B050"/>
              </w:rPr>
            </w:pPr>
            <w:r>
              <w:rPr>
                <w:b/>
                <w:bCs/>
                <w:color w:val="00B050"/>
              </w:rPr>
              <w:t>Positive</w:t>
            </w:r>
          </w:p>
          <w:p w14:paraId="22BEF4CB" w14:textId="77777777" w:rsidR="00EB0F3B" w:rsidRDefault="00EB0F3B">
            <w:pPr>
              <w:ind w:left="113" w:right="113"/>
              <w:rPr>
                <w:b/>
                <w:bCs/>
              </w:rPr>
            </w:pPr>
            <w:r>
              <w:rPr>
                <w:b/>
                <w:bCs/>
                <w:color w:val="FF0000"/>
              </w:rPr>
              <w:t>Negative</w:t>
            </w:r>
          </w:p>
          <w:p w14:paraId="12C1D67B" w14:textId="77777777" w:rsidR="00EB0F3B" w:rsidRDefault="00EB0F3B">
            <w:pPr>
              <w:ind w:left="113" w:right="113"/>
              <w:rPr>
                <w:b/>
                <w:bCs/>
                <w:color w:val="ED7D31"/>
              </w:rPr>
            </w:pPr>
            <w:r>
              <w:rPr>
                <w:b/>
                <w:bCs/>
                <w:color w:val="ED7D31"/>
              </w:rPr>
              <w:t>None</w:t>
            </w:r>
          </w:p>
          <w:p w14:paraId="314DF225" w14:textId="77777777" w:rsidR="00EB0F3B" w:rsidRDefault="00EB0F3B">
            <w:pPr>
              <w:ind w:left="113" w:right="113"/>
              <w:rPr>
                <w:b/>
                <w:bCs/>
                <w:color w:val="ED7D31"/>
              </w:rPr>
            </w:pPr>
            <w:r>
              <w:rPr>
                <w:b/>
                <w:bCs/>
                <w:color w:val="4472C4"/>
              </w:rPr>
              <w:t>Neutral</w:t>
            </w:r>
          </w:p>
        </w:tc>
        <w:tc>
          <w:tcPr>
            <w:tcW w:w="1704" w:type="pct"/>
            <w:tcBorders>
              <w:top w:val="nil"/>
              <w:left w:val="nil"/>
              <w:bottom w:val="single" w:sz="12" w:space="0" w:color="767171"/>
              <w:right w:val="single" w:sz="12" w:space="0" w:color="767171"/>
            </w:tcBorders>
          </w:tcPr>
          <w:p w14:paraId="164F3788" w14:textId="77777777" w:rsidR="00EB0F3B" w:rsidRDefault="00EB0F3B">
            <w:pPr>
              <w:ind w:left="113" w:right="113"/>
              <w:rPr>
                <w:b/>
                <w:bCs/>
                <w:color w:val="00B050"/>
              </w:rPr>
            </w:pPr>
          </w:p>
        </w:tc>
      </w:tr>
    </w:tbl>
    <w:p w14:paraId="6928D510" w14:textId="77777777" w:rsidR="00D40681" w:rsidRDefault="00D40681"/>
    <w:sectPr w:rsidR="00D40681" w:rsidSect="00EB0F3B">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433CC7"/>
    <w:multiLevelType w:val="hybridMultilevel"/>
    <w:tmpl w:val="B572599E"/>
    <w:lvl w:ilvl="0" w:tplc="BE20507C">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F3B"/>
    <w:rsid w:val="00707B5B"/>
    <w:rsid w:val="00744DFB"/>
    <w:rsid w:val="009F19F1"/>
    <w:rsid w:val="00C64D9F"/>
    <w:rsid w:val="00D40681"/>
    <w:rsid w:val="00EB0F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0C24A"/>
  <w15:chartTrackingRefBased/>
  <w15:docId w15:val="{36F10E9D-E6DA-4314-94BD-3CAE806ED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0F3B"/>
    <w:pPr>
      <w:spacing w:after="0" w:line="240" w:lineRule="auto"/>
    </w:pPr>
    <w:rPr>
      <w:rFonts w:ascii="Calibri" w:hAnsi="Calibri" w:cs="Calibri"/>
    </w:rPr>
  </w:style>
  <w:style w:type="paragraph" w:styleId="Heading1">
    <w:name w:val="heading 1"/>
    <w:basedOn w:val="Normal"/>
    <w:link w:val="Heading1Char"/>
    <w:uiPriority w:val="9"/>
    <w:qFormat/>
    <w:rsid w:val="00EB0F3B"/>
    <w:pPr>
      <w:keepNext/>
      <w:spacing w:before="240"/>
      <w:outlineLvl w:val="0"/>
    </w:pPr>
    <w:rPr>
      <w:rFonts w:ascii="Calibri Light" w:hAnsi="Calibri Light" w:cs="Calibri Light"/>
      <w:color w:val="2F5496"/>
      <w:kern w:val="36"/>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0F3B"/>
    <w:rPr>
      <w:rFonts w:ascii="Calibri Light" w:hAnsi="Calibri Light" w:cs="Calibri Light"/>
      <w:color w:val="2F5496"/>
      <w:kern w:val="36"/>
      <w:sz w:val="32"/>
      <w:szCs w:val="32"/>
    </w:rPr>
  </w:style>
  <w:style w:type="character" w:styleId="SubtleReference">
    <w:name w:val="Subtle Reference"/>
    <w:basedOn w:val="DefaultParagraphFont"/>
    <w:uiPriority w:val="31"/>
    <w:qFormat/>
    <w:rsid w:val="00EB0F3B"/>
    <w:rPr>
      <w:smallCaps/>
      <w:color w:val="5A5A5A" w:themeColor="text1" w:themeTint="A5"/>
    </w:rPr>
  </w:style>
  <w:style w:type="paragraph" w:styleId="IntenseQuote">
    <w:name w:val="Intense Quote"/>
    <w:basedOn w:val="Normal"/>
    <w:next w:val="Normal"/>
    <w:link w:val="IntenseQuoteChar"/>
    <w:uiPriority w:val="30"/>
    <w:qFormat/>
    <w:rsid w:val="00D40681"/>
    <w:pPr>
      <w:pBdr>
        <w:top w:val="single" w:sz="4" w:space="10" w:color="99CB38" w:themeColor="accent1"/>
        <w:bottom w:val="single" w:sz="4" w:space="10" w:color="99CB38" w:themeColor="accent1"/>
      </w:pBdr>
      <w:spacing w:before="360" w:after="360"/>
      <w:ind w:left="864" w:right="864"/>
      <w:jc w:val="center"/>
    </w:pPr>
    <w:rPr>
      <w:i/>
      <w:iCs/>
      <w:color w:val="99CB38" w:themeColor="accent1"/>
    </w:rPr>
  </w:style>
  <w:style w:type="character" w:customStyle="1" w:styleId="IntenseQuoteChar">
    <w:name w:val="Intense Quote Char"/>
    <w:basedOn w:val="DefaultParagraphFont"/>
    <w:link w:val="IntenseQuote"/>
    <w:uiPriority w:val="30"/>
    <w:rsid w:val="00D40681"/>
    <w:rPr>
      <w:rFonts w:ascii="Calibri" w:hAnsi="Calibri" w:cs="Calibri"/>
      <w:i/>
      <w:iCs/>
      <w:color w:val="99CB38" w:themeColor="accent1"/>
    </w:rPr>
  </w:style>
  <w:style w:type="character" w:styleId="IntenseEmphasis">
    <w:name w:val="Intense Emphasis"/>
    <w:basedOn w:val="DefaultParagraphFont"/>
    <w:uiPriority w:val="21"/>
    <w:qFormat/>
    <w:rsid w:val="00D40681"/>
    <w:rPr>
      <w:i/>
      <w:iCs/>
      <w:color w:val="99CB38"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899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Green Yellow">
      <a:dk1>
        <a:sysClr val="windowText" lastClr="000000"/>
      </a:dk1>
      <a:lt1>
        <a:sysClr val="window" lastClr="FFFFFF"/>
      </a:lt1>
      <a:dk2>
        <a:srgbClr val="455F51"/>
      </a:dk2>
      <a:lt2>
        <a:srgbClr val="E2DFCC"/>
      </a:lt2>
      <a:accent1>
        <a:srgbClr val="99CB38"/>
      </a:accent1>
      <a:accent2>
        <a:srgbClr val="63A537"/>
      </a:accent2>
      <a:accent3>
        <a:srgbClr val="37A76F"/>
      </a:accent3>
      <a:accent4>
        <a:srgbClr val="44C1A3"/>
      </a:accent4>
      <a:accent5>
        <a:srgbClr val="4EB3CF"/>
      </a:accent5>
      <a:accent6>
        <a:srgbClr val="51C3F9"/>
      </a:accent6>
      <a:hlink>
        <a:srgbClr val="EE7B08"/>
      </a:hlink>
      <a:folHlink>
        <a:srgbClr val="977B2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335</Words>
  <Characters>1915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Dylan Townsend</cp:lastModifiedBy>
  <cp:revision>2</cp:revision>
  <dcterms:created xsi:type="dcterms:W3CDTF">2019-06-25T02:58:00Z</dcterms:created>
  <dcterms:modified xsi:type="dcterms:W3CDTF">2019-08-05T11:45:00Z</dcterms:modified>
</cp:coreProperties>
</file>